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DB6" w:rsidRDefault="00BD6DB6" w:rsidP="00BD6DB6">
      <w:pPr>
        <w:pStyle w:val="StandardWeb"/>
        <w:rPr>
          <w:rStyle w:val="Fett"/>
          <w:lang w:val="fr-FR"/>
        </w:rPr>
      </w:pPr>
      <w:r w:rsidRPr="00BD6DB6">
        <w:rPr>
          <w:rStyle w:val="Fett"/>
          <w:lang w:val="fr-FR"/>
        </w:rPr>
        <w:t>Motivation et autonomie dans des dispositifs multimédia d'apprentissage des langues</w:t>
      </w:r>
      <w:r>
        <w:rPr>
          <w:rStyle w:val="Fett"/>
          <w:lang w:val="fr-FR"/>
        </w:rPr>
        <w:t xml:space="preserve"> : </w:t>
      </w:r>
      <w:proofErr w:type="spellStart"/>
      <w:r>
        <w:rPr>
          <w:rStyle w:val="Fett"/>
          <w:lang w:val="fr-FR"/>
        </w:rPr>
        <w:t>Repésentations</w:t>
      </w:r>
      <w:proofErr w:type="spellEnd"/>
      <w:r>
        <w:rPr>
          <w:rStyle w:val="Fett"/>
          <w:lang w:val="fr-FR"/>
        </w:rPr>
        <w:t xml:space="preserve"> individuelles et </w:t>
      </w:r>
      <w:proofErr w:type="spellStart"/>
      <w:r>
        <w:rPr>
          <w:rStyle w:val="Fett"/>
          <w:lang w:val="fr-FR"/>
        </w:rPr>
        <w:t>professionalisation</w:t>
      </w:r>
      <w:proofErr w:type="spellEnd"/>
      <w:r>
        <w:rPr>
          <w:rStyle w:val="Fett"/>
          <w:lang w:val="fr-FR"/>
        </w:rPr>
        <w:t xml:space="preserve"> </w:t>
      </w:r>
      <w:proofErr w:type="spellStart"/>
      <w:r>
        <w:rPr>
          <w:rStyle w:val="Fett"/>
          <w:lang w:val="fr-FR"/>
        </w:rPr>
        <w:t>contextualisée</w:t>
      </w:r>
      <w:proofErr w:type="spellEnd"/>
      <w:r>
        <w:rPr>
          <w:rStyle w:val="Fett"/>
          <w:lang w:val="fr-FR"/>
        </w:rPr>
        <w:t xml:space="preserve"> des moniteurs dans des espaces langues à l’ère de la globalisation et du numérique.</w:t>
      </w:r>
    </w:p>
    <w:p w:rsidR="0032536B" w:rsidRDefault="001C115A" w:rsidP="00BD6DB6">
      <w:pPr>
        <w:pStyle w:val="StandardWeb"/>
        <w:rPr>
          <w:rStyle w:val="Fett"/>
        </w:rPr>
      </w:pPr>
      <w:r w:rsidRPr="001C115A">
        <w:rPr>
          <w:rStyle w:val="Fett"/>
        </w:rPr>
        <w:t>Prof. Dr. Dagmar Abendroth-Timmer</w:t>
      </w:r>
      <w:r>
        <w:rPr>
          <w:rStyle w:val="Fett"/>
        </w:rPr>
        <w:t xml:space="preserve"> </w:t>
      </w:r>
    </w:p>
    <w:p w:rsidR="001C115A" w:rsidRPr="001C115A" w:rsidRDefault="001C115A" w:rsidP="00BD6DB6">
      <w:pPr>
        <w:pStyle w:val="StandardWeb"/>
        <w:rPr>
          <w:rStyle w:val="Fett"/>
        </w:rPr>
      </w:pPr>
      <w:r>
        <w:rPr>
          <w:rStyle w:val="Fett"/>
        </w:rPr>
        <w:t xml:space="preserve">(Universität Siegen, </w:t>
      </w:r>
      <w:proofErr w:type="spellStart"/>
      <w:r>
        <w:rPr>
          <w:rStyle w:val="Fett"/>
        </w:rPr>
        <w:t>Allemagne</w:t>
      </w:r>
      <w:proofErr w:type="spellEnd"/>
      <w:r w:rsidR="0032536B">
        <w:rPr>
          <w:rStyle w:val="Fett"/>
        </w:rPr>
        <w:t>, abendroth@romanistik.uni-siegen.de</w:t>
      </w:r>
      <w:r>
        <w:rPr>
          <w:rStyle w:val="Fett"/>
        </w:rPr>
        <w:t>)</w:t>
      </w:r>
    </w:p>
    <w:p w:rsidR="00E45217" w:rsidRPr="00E45217" w:rsidRDefault="00E45217" w:rsidP="00E45217">
      <w:pPr>
        <w:spacing w:after="120" w:line="360" w:lineRule="auto"/>
        <w:jc w:val="both"/>
        <w:rPr>
          <w:rFonts w:ascii="Calibri" w:hAnsi="Calibri"/>
          <w:sz w:val="24"/>
        </w:rPr>
      </w:pPr>
      <w:r w:rsidRPr="00E45217">
        <w:rPr>
          <w:rFonts w:ascii="Calibri" w:hAnsi="Calibri"/>
          <w:sz w:val="24"/>
        </w:rPr>
        <w:t xml:space="preserve">Le projet présenté s’intéresse à la motivation dans des processus d’apprentissage en contexte autonome et multimédia à l’université (cf. </w:t>
      </w:r>
      <w:proofErr w:type="spellStart"/>
      <w:r w:rsidRPr="00E45217">
        <w:rPr>
          <w:rFonts w:ascii="Calibri" w:hAnsi="Calibri"/>
          <w:sz w:val="24"/>
        </w:rPr>
        <w:t>Dörnyei</w:t>
      </w:r>
      <w:proofErr w:type="spellEnd"/>
      <w:r w:rsidRPr="00E45217">
        <w:rPr>
          <w:rFonts w:ascii="Calibri" w:hAnsi="Calibri"/>
          <w:sz w:val="24"/>
        </w:rPr>
        <w:t xml:space="preserve"> 2001, </w:t>
      </w:r>
      <w:proofErr w:type="spellStart"/>
      <w:r w:rsidRPr="00E45217">
        <w:rPr>
          <w:rFonts w:ascii="Calibri" w:hAnsi="Calibri"/>
          <w:sz w:val="24"/>
        </w:rPr>
        <w:t>Tassinari</w:t>
      </w:r>
      <w:proofErr w:type="spellEnd"/>
      <w:r w:rsidRPr="00E45217">
        <w:rPr>
          <w:rFonts w:ascii="Calibri" w:hAnsi="Calibri"/>
          <w:sz w:val="24"/>
        </w:rPr>
        <w:t xml:space="preserve"> 2010, </w:t>
      </w:r>
      <w:proofErr w:type="spellStart"/>
      <w:r w:rsidRPr="00E45217">
        <w:rPr>
          <w:rFonts w:ascii="Calibri" w:hAnsi="Calibri"/>
          <w:sz w:val="24"/>
        </w:rPr>
        <w:t>Ushioda</w:t>
      </w:r>
      <w:proofErr w:type="spellEnd"/>
      <w:r w:rsidRPr="00E45217">
        <w:rPr>
          <w:rFonts w:ascii="Calibri" w:hAnsi="Calibri"/>
          <w:sz w:val="24"/>
        </w:rPr>
        <w:t xml:space="preserve"> 2011). A l’ère de la globalisation et du numérique les espaces d’apprentissage des langues ont sensiblement changé quant à leurs structures et dispositifs (cf. </w:t>
      </w:r>
      <w:proofErr w:type="spellStart"/>
      <w:r w:rsidRPr="00E45217">
        <w:rPr>
          <w:rFonts w:ascii="Calibri" w:hAnsi="Calibri"/>
          <w:sz w:val="24"/>
        </w:rPr>
        <w:t>Demaizière</w:t>
      </w:r>
      <w:proofErr w:type="spellEnd"/>
      <w:r w:rsidRPr="00E45217">
        <w:rPr>
          <w:rFonts w:ascii="Calibri" w:hAnsi="Calibri"/>
          <w:sz w:val="24"/>
        </w:rPr>
        <w:t>/Achard-Bayle 2003). Ils</w:t>
      </w:r>
      <w:r w:rsidRPr="00E45217">
        <w:t xml:space="preserve"> </w:t>
      </w:r>
      <w:r w:rsidRPr="00E45217">
        <w:rPr>
          <w:rFonts w:ascii="Calibri" w:hAnsi="Calibri"/>
          <w:sz w:val="24"/>
        </w:rPr>
        <w:t>incluent des espaces multimédia, des environnements hybrides, des domaines de travail favorisant la collaboration etc. Ayant plus facilement accès à des applications d’apprentissage des langues hors du cadre institutionnalisé, les étudiants nécessitent davantage d’un accompagnement dans leur processus d’apprentissage de langues en autonomie et de profiter d’activités supplémentaires, interactives.</w:t>
      </w:r>
    </w:p>
    <w:p w:rsidR="00E45217" w:rsidRPr="00E45217" w:rsidRDefault="00E45217" w:rsidP="00E45217">
      <w:pPr>
        <w:spacing w:after="120" w:line="360" w:lineRule="auto"/>
        <w:jc w:val="both"/>
        <w:rPr>
          <w:rFonts w:ascii="Calibri" w:hAnsi="Calibri"/>
          <w:sz w:val="24"/>
        </w:rPr>
      </w:pPr>
      <w:r w:rsidRPr="00E45217">
        <w:rPr>
          <w:rFonts w:ascii="Calibri" w:hAnsi="Calibri"/>
          <w:sz w:val="24"/>
        </w:rPr>
        <w:t xml:space="preserve">Pour explorer et développer ce terrain pédagogique innovant, nous avons mené en première démarche une enquête auprès des moniteurs. Ceux-ci réalisent les permanences lors des ouvertures de l’espace langue et animent des ateliers de conversation (surtout en anglais telle langue véhiculaire dans les milieux scientifiques internationaux) qui sont proposés aux étudiants parallèlement aux cours de langue réguliers. Dans le cas particulier de notre étude, il s’agit de doctorant(e)s dans des disciplines scientifiques, médicales et technologiques qui logiquement n’ont pas de formation en didactique des langues étrangères. La plupart des moniteurs sont des doctorants internationaux dont la plupart est chargée d’ateliers de conversation en anglais bien que cette langue ne soit pas obligatoirement leur langue maternelle </w:t>
      </w:r>
    </w:p>
    <w:p w:rsidR="00E45217" w:rsidRPr="00E45217" w:rsidRDefault="00E45217" w:rsidP="00E45217">
      <w:pPr>
        <w:spacing w:after="120" w:line="360" w:lineRule="auto"/>
        <w:jc w:val="both"/>
        <w:rPr>
          <w:rFonts w:ascii="Calibri" w:hAnsi="Calibri"/>
          <w:sz w:val="24"/>
        </w:rPr>
      </w:pPr>
      <w:r w:rsidRPr="00E45217">
        <w:rPr>
          <w:rFonts w:ascii="Calibri" w:hAnsi="Calibri"/>
          <w:sz w:val="24"/>
        </w:rPr>
        <w:t xml:space="preserve">Notre objectif de recherche est de savoir comment les moniteurs peuvent soutenir les étudiant(e)s dans leurs processus d’apprentissage en autonomie à l’espace langue et aux ateliers de conversation. Plus précisément de discerner les </w:t>
      </w:r>
      <w:r>
        <w:rPr>
          <w:rFonts w:ascii="Calibri" w:hAnsi="Calibri"/>
          <w:sz w:val="24"/>
        </w:rPr>
        <w:t>représentations</w:t>
      </w:r>
      <w:r w:rsidRPr="00E45217">
        <w:rPr>
          <w:rFonts w:ascii="Calibri" w:hAnsi="Calibri"/>
          <w:sz w:val="24"/>
        </w:rPr>
        <w:t xml:space="preserve"> individuelles des moniteurs par rapport à leur charge d’enseignement. Dans ce but, nous avons mené des entretiens semi-structurés portant sur les points suivants : biographie académique, permanences à l’espace langue, représentations par rapport à l’autonomie et motivation des étudiants, travail dans les ateliers de conversation et perspectives de développement </w:t>
      </w:r>
      <w:r w:rsidRPr="00E45217">
        <w:rPr>
          <w:rFonts w:ascii="Calibri" w:hAnsi="Calibri"/>
          <w:sz w:val="24"/>
        </w:rPr>
        <w:lastRenderedPageBreak/>
        <w:t>professionnel en didactique des langues. Des questionnaires identiques en ligne ont été proposés aux moniteurs n’ayant pu assister aux entretiens.</w:t>
      </w:r>
    </w:p>
    <w:p w:rsidR="00E45217" w:rsidRPr="00E45217" w:rsidRDefault="00E45217" w:rsidP="00E45217">
      <w:pPr>
        <w:spacing w:after="120" w:line="360" w:lineRule="auto"/>
        <w:jc w:val="both"/>
        <w:rPr>
          <w:rFonts w:ascii="Calibri" w:hAnsi="Calibri"/>
          <w:sz w:val="24"/>
        </w:rPr>
      </w:pPr>
      <w:r w:rsidRPr="00E45217">
        <w:rPr>
          <w:rFonts w:ascii="Calibri" w:hAnsi="Calibri"/>
          <w:sz w:val="24"/>
        </w:rPr>
        <w:t xml:space="preserve">Dans l’ensemble, cette enquête relève du domaine de l’approche réflexive en formation des enseignants. Nous envisageons des questionnaires complémentaires auprès des étudiants concernant les dispositifs à l’espace langue ainsi que des formations </w:t>
      </w:r>
      <w:proofErr w:type="spellStart"/>
      <w:r w:rsidRPr="00E45217">
        <w:rPr>
          <w:rFonts w:ascii="Calibri" w:hAnsi="Calibri"/>
          <w:sz w:val="24"/>
        </w:rPr>
        <w:t>contextualisées</w:t>
      </w:r>
      <w:proofErr w:type="spellEnd"/>
      <w:r w:rsidRPr="00E45217">
        <w:rPr>
          <w:rFonts w:ascii="Calibri" w:hAnsi="Calibri"/>
          <w:sz w:val="24"/>
        </w:rPr>
        <w:t xml:space="preserve"> pour les moniteurs.</w:t>
      </w:r>
      <w:bookmarkStart w:id="0" w:name="_GoBack"/>
      <w:bookmarkEnd w:id="0"/>
    </w:p>
    <w:p w:rsidR="00E45217" w:rsidRDefault="00E45217" w:rsidP="00BD6DB6">
      <w:pPr>
        <w:pStyle w:val="StandardWeb"/>
        <w:rPr>
          <w:b/>
          <w:bCs/>
          <w:lang w:val="fr-FR"/>
        </w:rPr>
      </w:pPr>
    </w:p>
    <w:p w:rsidR="00BD6DB6" w:rsidRPr="001C115A" w:rsidRDefault="00BD6DB6" w:rsidP="00BD6DB6">
      <w:pPr>
        <w:pStyle w:val="StandardWeb"/>
        <w:rPr>
          <w:rStyle w:val="Fett"/>
          <w:lang w:val="fr-FR"/>
        </w:rPr>
      </w:pPr>
      <w:r w:rsidRPr="001C115A">
        <w:rPr>
          <w:b/>
          <w:bCs/>
          <w:lang w:val="fr-FR"/>
        </w:rPr>
        <w:t>Références bibliographiques </w:t>
      </w:r>
      <w:r w:rsidRPr="001C115A">
        <w:rPr>
          <w:rStyle w:val="Fett"/>
          <w:lang w:val="fr-FR"/>
        </w:rPr>
        <w:t xml:space="preserve"> </w:t>
      </w:r>
    </w:p>
    <w:p w:rsidR="00114301" w:rsidRPr="00114301" w:rsidRDefault="00114301" w:rsidP="00114301">
      <w:pPr>
        <w:spacing w:after="60" w:line="240" w:lineRule="auto"/>
        <w:ind w:left="284" w:hanging="284"/>
      </w:pPr>
      <w:proofErr w:type="spellStart"/>
      <w:r w:rsidRPr="00114301">
        <w:rPr>
          <w:smallCaps/>
        </w:rPr>
        <w:t>Demaizière</w:t>
      </w:r>
      <w:proofErr w:type="spellEnd"/>
      <w:r w:rsidRPr="00114301">
        <w:t xml:space="preserve">, Françoise ; </w:t>
      </w:r>
      <w:r w:rsidRPr="00114301">
        <w:rPr>
          <w:smallCaps/>
        </w:rPr>
        <w:t>Achard-Bayle</w:t>
      </w:r>
      <w:r w:rsidRPr="00114301">
        <w:t>, Guy</w:t>
      </w:r>
      <w:r>
        <w:t>.</w:t>
      </w:r>
      <w:r w:rsidRPr="00114301">
        <w:t> 2003</w:t>
      </w:r>
      <w:r>
        <w:t>.</w:t>
      </w:r>
      <w:r w:rsidRPr="00114301">
        <w:t xml:space="preserve"> Gérer l'interface entre ingénierie, didactique, pédagogie et dispositifs ouverts</w:t>
      </w:r>
      <w:r>
        <w:t>, in :</w:t>
      </w:r>
      <w:r w:rsidRPr="00114301">
        <w:t xml:space="preserve"> </w:t>
      </w:r>
      <w:proofErr w:type="spellStart"/>
      <w:r w:rsidRPr="00114301">
        <w:rPr>
          <w:i/>
        </w:rPr>
        <w:t>Alsic</w:t>
      </w:r>
      <w:proofErr w:type="spellEnd"/>
      <w:r w:rsidRPr="00114301">
        <w:t xml:space="preserve"> [En ligne], Vol. 6, n°1, Spécial Pluralité des langues,  http://alsic.revues.org/2124 ; DOI : 10.4000/</w:t>
      </w:r>
      <w:proofErr w:type="spellStart"/>
      <w:r w:rsidRPr="00114301">
        <w:t>alsic</w:t>
      </w:r>
      <w:proofErr w:type="spellEnd"/>
      <w:r w:rsidRPr="00114301">
        <w:t>.2124</w:t>
      </w:r>
    </w:p>
    <w:p w:rsidR="00C24019" w:rsidRPr="001C115A" w:rsidRDefault="00C24019" w:rsidP="00114301">
      <w:pPr>
        <w:pStyle w:val="Literaturangabe"/>
        <w:spacing w:after="60" w:line="240" w:lineRule="auto"/>
        <w:rPr>
          <w:rFonts w:asciiTheme="minorHAnsi" w:hAnsiTheme="minorHAnsi"/>
          <w:sz w:val="22"/>
          <w:szCs w:val="22"/>
        </w:rPr>
      </w:pPr>
      <w:proofErr w:type="spellStart"/>
      <w:r w:rsidRPr="001C115A">
        <w:rPr>
          <w:rFonts w:asciiTheme="minorHAnsi" w:hAnsiTheme="minorHAnsi"/>
          <w:smallCaps/>
          <w:sz w:val="22"/>
          <w:szCs w:val="22"/>
          <w:lang w:val="en-GB"/>
        </w:rPr>
        <w:t>Dörnyei</w:t>
      </w:r>
      <w:proofErr w:type="spellEnd"/>
      <w:r w:rsidRPr="001C115A">
        <w:rPr>
          <w:rFonts w:asciiTheme="minorHAnsi" w:hAnsiTheme="minorHAnsi"/>
          <w:sz w:val="22"/>
          <w:szCs w:val="22"/>
          <w:lang w:val="en-GB"/>
        </w:rPr>
        <w:t xml:space="preserve">, </w:t>
      </w:r>
      <w:proofErr w:type="spellStart"/>
      <w:r w:rsidRPr="001C115A">
        <w:rPr>
          <w:rFonts w:asciiTheme="minorHAnsi" w:hAnsiTheme="minorHAnsi"/>
          <w:sz w:val="22"/>
          <w:szCs w:val="22"/>
          <w:lang w:val="en-GB"/>
        </w:rPr>
        <w:t>Zoltán</w:t>
      </w:r>
      <w:proofErr w:type="spellEnd"/>
      <w:r w:rsidR="00114301" w:rsidRPr="001C115A">
        <w:rPr>
          <w:rFonts w:asciiTheme="minorHAnsi" w:hAnsiTheme="minorHAnsi"/>
          <w:sz w:val="22"/>
          <w:szCs w:val="22"/>
          <w:lang w:val="en-GB"/>
        </w:rPr>
        <w:t>.</w:t>
      </w:r>
      <w:r w:rsidRPr="001C115A">
        <w:rPr>
          <w:rFonts w:asciiTheme="minorHAnsi" w:hAnsiTheme="minorHAnsi"/>
          <w:sz w:val="22"/>
          <w:szCs w:val="22"/>
          <w:lang w:val="en-GB"/>
        </w:rPr>
        <w:t xml:space="preserve"> 2001</w:t>
      </w:r>
      <w:r w:rsidR="00114301" w:rsidRPr="001C115A">
        <w:rPr>
          <w:rFonts w:asciiTheme="minorHAnsi" w:hAnsiTheme="minorHAnsi"/>
          <w:sz w:val="22"/>
          <w:szCs w:val="22"/>
          <w:lang w:val="en-GB"/>
        </w:rPr>
        <w:t>.</w:t>
      </w:r>
      <w:r w:rsidRPr="001C115A">
        <w:rPr>
          <w:rFonts w:asciiTheme="minorHAnsi" w:hAnsiTheme="minorHAnsi"/>
          <w:i/>
          <w:sz w:val="22"/>
          <w:szCs w:val="22"/>
          <w:lang w:val="en-GB"/>
        </w:rPr>
        <w:t xml:space="preserve"> Teaching and Researching Motivation</w:t>
      </w:r>
      <w:r w:rsidRPr="001C115A">
        <w:rPr>
          <w:rFonts w:asciiTheme="minorHAnsi" w:hAnsiTheme="minorHAnsi"/>
          <w:sz w:val="22"/>
          <w:szCs w:val="22"/>
          <w:lang w:val="en-GB"/>
        </w:rPr>
        <w:t xml:space="preserve">. </w:t>
      </w:r>
      <w:r w:rsidRPr="001C115A">
        <w:rPr>
          <w:rFonts w:asciiTheme="minorHAnsi" w:hAnsiTheme="minorHAnsi"/>
          <w:sz w:val="22"/>
          <w:szCs w:val="22"/>
        </w:rPr>
        <w:t>London: Longman.</w:t>
      </w:r>
    </w:p>
    <w:p w:rsidR="00C24019" w:rsidRPr="0032536B" w:rsidRDefault="00C24019" w:rsidP="00114301">
      <w:pPr>
        <w:spacing w:after="60" w:line="240" w:lineRule="auto"/>
        <w:ind w:left="284" w:hanging="284"/>
        <w:jc w:val="both"/>
        <w:rPr>
          <w:lang w:val="de-DE"/>
        </w:rPr>
      </w:pPr>
      <w:proofErr w:type="spellStart"/>
      <w:r w:rsidRPr="001C115A">
        <w:rPr>
          <w:smallCaps/>
          <w:lang w:val="de-DE"/>
        </w:rPr>
        <w:t>Tassinari</w:t>
      </w:r>
      <w:proofErr w:type="spellEnd"/>
      <w:r w:rsidRPr="001C115A">
        <w:rPr>
          <w:smallCaps/>
          <w:lang w:val="de-DE"/>
        </w:rPr>
        <w:t xml:space="preserve">, </w:t>
      </w:r>
      <w:r w:rsidRPr="001C115A">
        <w:rPr>
          <w:lang w:val="de-DE"/>
        </w:rPr>
        <w:t>Maria Giovanna</w:t>
      </w:r>
      <w:r w:rsidR="00114301" w:rsidRPr="001C115A">
        <w:rPr>
          <w:lang w:val="de-DE"/>
        </w:rPr>
        <w:t>.</w:t>
      </w:r>
      <w:r w:rsidRPr="001C115A">
        <w:rPr>
          <w:lang w:val="de-DE"/>
        </w:rPr>
        <w:t xml:space="preserve"> </w:t>
      </w:r>
      <w:r w:rsidRPr="00114301">
        <w:rPr>
          <w:lang w:val="de-DE"/>
        </w:rPr>
        <w:t>2010</w:t>
      </w:r>
      <w:r w:rsidR="00114301" w:rsidRPr="00114301">
        <w:rPr>
          <w:lang w:val="de-DE"/>
        </w:rPr>
        <w:t>.</w:t>
      </w:r>
      <w:r w:rsidRPr="00114301">
        <w:rPr>
          <w:lang w:val="de-DE"/>
        </w:rPr>
        <w:t xml:space="preserve"> </w:t>
      </w:r>
      <w:r w:rsidRPr="00114301">
        <w:rPr>
          <w:i/>
          <w:lang w:val="de-DE"/>
        </w:rPr>
        <w:t>Autonomes Fremdsprachenlernen: Komponenten, Kompetenzen, Strategien</w:t>
      </w:r>
      <w:r w:rsidRPr="00114301">
        <w:rPr>
          <w:lang w:val="de-DE"/>
        </w:rPr>
        <w:t xml:space="preserve">. </w:t>
      </w:r>
      <w:r w:rsidRPr="0032536B">
        <w:rPr>
          <w:lang w:val="de-DE"/>
        </w:rPr>
        <w:t xml:space="preserve">Frankfurt am Main: Lang.   </w:t>
      </w:r>
    </w:p>
    <w:p w:rsidR="00C24019" w:rsidRPr="00114301" w:rsidRDefault="00C24019" w:rsidP="00114301">
      <w:pPr>
        <w:spacing w:after="60" w:line="240" w:lineRule="auto"/>
        <w:ind w:left="284" w:hanging="284"/>
        <w:jc w:val="both"/>
        <w:rPr>
          <w:lang w:val="en-GB"/>
        </w:rPr>
      </w:pPr>
      <w:proofErr w:type="spellStart"/>
      <w:r w:rsidRPr="001C115A">
        <w:rPr>
          <w:smallCaps/>
          <w:lang w:val="en-GB"/>
        </w:rPr>
        <w:t>Ushioda</w:t>
      </w:r>
      <w:proofErr w:type="spellEnd"/>
      <w:r w:rsidRPr="001C115A">
        <w:rPr>
          <w:lang w:val="en-GB"/>
        </w:rPr>
        <w:t xml:space="preserve">, </w:t>
      </w:r>
      <w:proofErr w:type="spellStart"/>
      <w:r w:rsidRPr="001C115A">
        <w:rPr>
          <w:lang w:val="en-GB"/>
        </w:rPr>
        <w:t>Ema</w:t>
      </w:r>
      <w:proofErr w:type="spellEnd"/>
      <w:r w:rsidRPr="001C115A">
        <w:rPr>
          <w:lang w:val="en-GB"/>
        </w:rPr>
        <w:t xml:space="preserve">. 2011. </w:t>
      </w:r>
      <w:r w:rsidRPr="00114301">
        <w:rPr>
          <w:lang w:val="en-GB"/>
        </w:rPr>
        <w:t xml:space="preserve">Language learning motivation, self and identity: current theoretical perspectives, in: </w:t>
      </w:r>
      <w:r w:rsidRPr="00114301">
        <w:rPr>
          <w:i/>
          <w:lang w:val="en-GB"/>
        </w:rPr>
        <w:t>Computer Assisted Language Learning</w:t>
      </w:r>
      <w:r w:rsidRPr="00114301">
        <w:rPr>
          <w:lang w:val="en-GB"/>
        </w:rPr>
        <w:t xml:space="preserve"> 24/3: 199-210.</w:t>
      </w:r>
    </w:p>
    <w:p w:rsidR="003F0C5B" w:rsidRPr="00114301" w:rsidRDefault="003F0C5B" w:rsidP="00114301">
      <w:pPr>
        <w:spacing w:after="60" w:line="240" w:lineRule="auto"/>
        <w:ind w:left="284" w:hanging="284"/>
        <w:rPr>
          <w:lang w:val="en-GB"/>
        </w:rPr>
      </w:pPr>
    </w:p>
    <w:sectPr w:rsidR="003F0C5B" w:rsidRPr="00114301" w:rsidSect="003F0C5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BD6DB6"/>
    <w:rsid w:val="00087704"/>
    <w:rsid w:val="00114301"/>
    <w:rsid w:val="001A5485"/>
    <w:rsid w:val="001C115A"/>
    <w:rsid w:val="0022223F"/>
    <w:rsid w:val="0028391F"/>
    <w:rsid w:val="0032536B"/>
    <w:rsid w:val="00333392"/>
    <w:rsid w:val="003F0C5B"/>
    <w:rsid w:val="0041564A"/>
    <w:rsid w:val="00535E7F"/>
    <w:rsid w:val="007A2108"/>
    <w:rsid w:val="00A209B3"/>
    <w:rsid w:val="00BD6DB6"/>
    <w:rsid w:val="00BF49E5"/>
    <w:rsid w:val="00C24019"/>
    <w:rsid w:val="00CD1B30"/>
    <w:rsid w:val="00E30377"/>
    <w:rsid w:val="00E45217"/>
    <w:rsid w:val="00E8551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0C5B"/>
    <w:rPr>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D6DB6"/>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BD6DB6"/>
    <w:rPr>
      <w:b/>
      <w:bCs/>
    </w:rPr>
  </w:style>
  <w:style w:type="paragraph" w:customStyle="1" w:styleId="Literaturangabe">
    <w:name w:val="Literaturangabe"/>
    <w:rsid w:val="00C24019"/>
    <w:pPr>
      <w:spacing w:after="120" w:line="280" w:lineRule="exact"/>
      <w:ind w:left="284" w:hanging="284"/>
      <w:jc w:val="both"/>
    </w:pPr>
    <w:rPr>
      <w:rFonts w:ascii="Times New Roman" w:eastAsia="Times New Roman" w:hAnsi="Times New Roman" w:cs="Times New Roman"/>
      <w:sz w:val="24"/>
      <w:szCs w:val="20"/>
      <w:lang w:eastAsia="de-DE"/>
    </w:rPr>
  </w:style>
</w:styles>
</file>

<file path=word/webSettings.xml><?xml version="1.0" encoding="utf-8"?>
<w:webSettings xmlns:r="http://schemas.openxmlformats.org/officeDocument/2006/relationships" xmlns:w="http://schemas.openxmlformats.org/wordprocessingml/2006/main">
  <w:divs>
    <w:div w:id="23975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3131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Abendroth-Timmer</dc:creator>
  <cp:lastModifiedBy>Abendroth-Timmer</cp:lastModifiedBy>
  <cp:revision>5</cp:revision>
  <dcterms:created xsi:type="dcterms:W3CDTF">2016-06-01T14:16:00Z</dcterms:created>
  <dcterms:modified xsi:type="dcterms:W3CDTF">2016-06-03T09:02:00Z</dcterms:modified>
</cp:coreProperties>
</file>